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C2" w:rsidRDefault="007439C2" w:rsidP="007439C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ПРОЕКТ!</w:t>
      </w:r>
    </w:p>
    <w:p w:rsidR="007439C2" w:rsidRDefault="007439C2" w:rsidP="007439C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62915" w:rsidRPr="007439C2" w:rsidRDefault="00962915" w:rsidP="007439C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7439C2" w:rsidRPr="007439C2" w:rsidRDefault="007439C2" w:rsidP="007439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Р Е Д Л О Ж Е Н И Е</w:t>
      </w:r>
    </w:p>
    <w:p w:rsidR="007439C2" w:rsidRPr="007439C2" w:rsidRDefault="007439C2" w:rsidP="007439C2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от д-р Иван Тодоров Иванов – </w:t>
      </w:r>
      <w:proofErr w:type="spellStart"/>
      <w:r w:rsidR="007E43C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Кмет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Община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Севлиево</w:t>
      </w:r>
      <w:proofErr w:type="spellEnd"/>
    </w:p>
    <w:p w:rsidR="007439C2" w:rsidRPr="007439C2" w:rsidRDefault="007439C2" w:rsidP="00743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39C2" w:rsidRPr="007439C2" w:rsidRDefault="007439C2" w:rsidP="00743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Относно</w:t>
      </w: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Изменение и допълнение на Наредба за условията и реда за съставяне на  бюджетната прогноза за местните дейности за следващите три години, за съставяне, приемане, изпълнение и отчитане на бюджета на Община Севлиево</w:t>
      </w:r>
    </w:p>
    <w:p w:rsidR="007439C2" w:rsidRPr="007439C2" w:rsidRDefault="007439C2" w:rsidP="007439C2">
      <w:pPr>
        <w:tabs>
          <w:tab w:val="left" w:pos="1276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439C2" w:rsidRPr="007439C2" w:rsidRDefault="007439C2" w:rsidP="007439C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21, ал. 2 от </w:t>
      </w:r>
      <w:r w:rsidR="00DC5A43" w:rsidRPr="00DC5A4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Закона за местното самоуправление и местната администрация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, във връзка с чл. 82, ал.</w:t>
      </w:r>
      <w:r w:rsidR="000570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 и Глава осем „а“ от Закона за публичните финанси, </w:t>
      </w:r>
      <w:r w:rsidR="006C421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предлагам да се измени и допълни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Севлиево, както следва: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. В чл. 29 се изменя:</w:t>
      </w:r>
    </w:p>
    <w:p w:rsidR="007439C2" w:rsidRPr="007439C2" w:rsidRDefault="007439C2" w:rsidP="007439C2">
      <w:pPr>
        <w:numPr>
          <w:ilvl w:val="1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2 текстът „не по-късно от 30 ноември” се заменя с „до 20 работни дни от обнародването на Закона за държавния бюджет за съответната година”;</w:t>
      </w:r>
    </w:p>
    <w:p w:rsidR="007439C2" w:rsidRPr="007439C2" w:rsidRDefault="007439C2" w:rsidP="007439C2">
      <w:pPr>
        <w:numPr>
          <w:ilvl w:val="1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4 се променя със следния текст: „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в процедура по финансово оздравяване изпраща проекта на бюджет на общината за съгласуване от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финансите.”</w:t>
      </w:r>
    </w:p>
    <w:p w:rsidR="007439C2" w:rsidRPr="007439C2" w:rsidRDefault="007439C2" w:rsidP="007439C2">
      <w:pPr>
        <w:numPr>
          <w:ilvl w:val="1"/>
          <w:numId w:val="2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нова ал. 5 както следва: „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внася в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окончателния проект на бюджета на общината, индикативния годишен разчет за сметките за средства от Европейския съюз и прогнозите по чл. 82, ал. 3 от Закона за публичните финанси в срок до 20 работни дни от обнародването на Закона за държавния бюджет за съответната година.“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2. В чл. 30 се правят следните изменени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439C2" w:rsidRPr="007439C2" w:rsidRDefault="007439C2" w:rsidP="007439C2">
      <w:pPr>
        <w:numPr>
          <w:ilvl w:val="1"/>
          <w:numId w:val="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3, т. 1 числото „5“ се заменя с „15“;</w:t>
      </w:r>
    </w:p>
    <w:p w:rsidR="007439C2" w:rsidRPr="007439C2" w:rsidRDefault="007439C2" w:rsidP="007439C2">
      <w:pPr>
        <w:numPr>
          <w:ilvl w:val="1"/>
          <w:numId w:val="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3, т. 2 числото „30“ се заменя с „50“;</w:t>
      </w:r>
    </w:p>
    <w:p w:rsidR="007439C2" w:rsidRPr="007439C2" w:rsidRDefault="007439C2" w:rsidP="007439C2">
      <w:pPr>
        <w:numPr>
          <w:ilvl w:val="1"/>
          <w:numId w:val="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 се нова ал. 7 със следния текст „При разглеждането от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бюджета на общината в процедура по финансово оздравяване се обсъжда и становището на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 по проекта на бюджет на общината“.</w:t>
      </w:r>
    </w:p>
    <w:p w:rsidR="007439C2" w:rsidRPr="007439C2" w:rsidRDefault="007439C2" w:rsidP="007439C2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В чл. 44 се правят следните изменения:</w:t>
      </w:r>
    </w:p>
    <w:p w:rsidR="007439C2" w:rsidRPr="007439C2" w:rsidRDefault="007439C2" w:rsidP="007439C2">
      <w:pPr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 се заменя както следва: „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изготвя годишния отчет за изпълнението на бюджета по показателите, по които е приет, придружен с доклад, и в срок до 31 август на следващата бюджетна година го внася за приемане от 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бщинския съвет. В случаите, когато Сметна палата извършва финансов одит на годишния финансов отчет на общината,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внася за приемане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одитирания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отчет заедно с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одитното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становище на Сметната палата за заверка на годишния финансов отчет на общината.“</w:t>
      </w:r>
    </w:p>
    <w:p w:rsidR="007439C2" w:rsidRPr="007439C2" w:rsidRDefault="007439C2" w:rsidP="007439C2">
      <w:pPr>
        <w:numPr>
          <w:ilvl w:val="1"/>
          <w:numId w:val="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В ал. 5 „31 декември“ се заменя с „30 септември“</w:t>
      </w:r>
    </w:p>
    <w:p w:rsidR="007439C2" w:rsidRPr="007439C2" w:rsidRDefault="007439C2" w:rsidP="007439C2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 се нов раздел VІІ „а”, както следва:</w:t>
      </w:r>
    </w:p>
    <w:p w:rsidR="007439C2" w:rsidRDefault="007439C2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59C8" w:rsidRDefault="005259C8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62915" w:rsidRDefault="00962915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62915" w:rsidRDefault="00962915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56AD" w:rsidRDefault="007256AD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259C8" w:rsidRDefault="005259C8" w:rsidP="007439C2">
      <w:pPr>
        <w:tabs>
          <w:tab w:val="left" w:pos="0"/>
          <w:tab w:val="left" w:pos="567"/>
          <w:tab w:val="left" w:pos="851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439C2" w:rsidRPr="007439C2" w:rsidRDefault="007439C2" w:rsidP="007439C2">
      <w:pPr>
        <w:tabs>
          <w:tab w:val="left" w:pos="0"/>
          <w:tab w:val="left" w:pos="567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„</w:t>
      </w:r>
      <w:r w:rsidRPr="007439C2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РАЗДЕЛ </w:t>
      </w: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VІІ „а”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Финансови затруднения по реда </w:t>
      </w:r>
      <w:r w:rsidR="0005707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</w:t>
      </w:r>
      <w:r w:rsidR="007256AD" w:rsidRPr="007256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осма "а" – „Общини с финансови затруднения“</w:t>
      </w:r>
      <w:r w:rsidRPr="007439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Закона за публичните финанси и откриване на процедура по финансово оздравяване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439C2" w:rsidRPr="007439C2" w:rsidRDefault="007439C2" w:rsidP="007439C2">
      <w:pPr>
        <w:tabs>
          <w:tab w:val="left" w:pos="0"/>
          <w:tab w:val="left" w:pos="567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43а. Финансови затруднения са налице при достигане на три или повече от следните условия: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са спазени фискалните правила по чл. 14, ал. 1 и ал. 2 от Наредбата и чл.</w:t>
      </w:r>
      <w:r w:rsidR="007256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32, ал. 1 и ал.</w:t>
      </w:r>
      <w:r w:rsidR="00FB43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2 от Закона за публичните финанси;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наличните към края на годината задължения за разходи по бюджета на общината надвишават 15 на сто от средногодишния размер на отчетените разходи за последните 4 години;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наличните към края на годината поети ангажименти за разходи по бюджета на общината надвишават 50 на сто от средногодишния размер на отчетените разходи за последните 4 години;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наличните към края на годината просрочени задължения по бюджета на общината надвишават 5 на сто от отчетените за последната година разходи на общината;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бюджетното салдо по бюджета на общината през последните три години е отрицателна величина за всяка една от трите години;</w:t>
      </w:r>
    </w:p>
    <w:p w:rsidR="007439C2" w:rsidRPr="007439C2" w:rsidRDefault="007439C2" w:rsidP="007439C2">
      <w:pPr>
        <w:numPr>
          <w:ilvl w:val="0"/>
          <w:numId w:val="1"/>
        </w:numPr>
        <w:tabs>
          <w:tab w:val="clear" w:pos="1635"/>
          <w:tab w:val="num" w:pos="0"/>
          <w:tab w:val="left" w:pos="567"/>
          <w:tab w:val="left" w:pos="90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осредненото равнище на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събираемост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данъка върху недвижимите имоти и данъка върху превозните средства е под осреднената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събираемост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двата данъка за всички общини, отчетена за последната година.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43б. След уведомление от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на финансите за установено достигане на три или повече от условията по чл. 43а,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предприема </w:t>
      </w:r>
      <w:proofErr w:type="spellStart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последващи</w:t>
      </w:r>
      <w:proofErr w:type="spellEnd"/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действия за откриване процедура по финансово оздравяване.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43в. Откриване на процедура по финансово оздравяване се осъществява в следните стъпки: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Ежегодно в срок до 10-ти март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="007256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оценка за наличие на условия по чл. 43а. към края на предходната година.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наличие на три или повече от условията,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ът на общината уведомява </w:t>
      </w:r>
      <w:r w:rsidR="0065653F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бщинския съвет в 7 дневен срок и внася предложение да бъде открита процедура за финансово оздравяване.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(3) Общинския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съвет в 10-дневен срок от уведомяването приема решение, с мнозинство повече от половината от общия брой съветници, с което: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1. открива процедура за финансово оздравяване;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възлага на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да изготви план за оздравяване в срок не по-дълъг от един месец;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3. определя срок за провеждане на публичното обсъждане не по-кратък от 14 дни.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В 7-дневен срок от провеждане на публичното обсъждане 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бщинския съвет определя срока на процедурата по финансово оздравяване и приема плана за финансово оздравяване.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(5) С решенията по ал.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3 и ал.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 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бщинския</w:t>
      </w:r>
      <w:r w:rsidR="007256AD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съвет може да възложи на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 общината да направи искане до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 за финансово подпомагане на общината под формата на временен безлихвен заем от централния бюджет за целите на изпълнението на плана за финансово оздравяване.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(6)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Кмет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ът осъществява текущо наблюдение на условията по чл. 43а., като извършва оценка, анализ и прогноза за тяхното изменение към полугодието и края на текущата бюджетна година. При необходимост определя срокове и стъпки за предприемане на съответни действия</w:t>
      </w:r>
      <w:r w:rsidRPr="007439C2">
        <w:rPr>
          <w:rFonts w:ascii="Times New Roman" w:eastAsia="Times New Roman" w:hAnsi="Times New Roman" w:cs="Times New Roman"/>
          <w:sz w:val="20"/>
          <w:szCs w:val="20"/>
          <w:lang w:eastAsia="bg-BG"/>
        </w:rPr>
        <w:t>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43г. (1) Планът за финансово оздравяване се изготвя, съгласно изискванията на             чл. 13</w:t>
      </w:r>
      <w:r w:rsidRPr="007439C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е. от Закона за публичните финанси и съдържа критерии, показатели, действия за осъществяване и отговорности, с цел постигане на финансова устойчивост и стабилност.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При необходимост от ползване на временен безлихвен заем от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финансите, планът се съгласува предварително с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финансите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определения срок от 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бщинския съвет за провеждане на публично обсъждане.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След приемането му планът се изпраща на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(4) Служители от дирекция „Финанси” изготвят информация за изпълнението на плана за финансово оздравяване, която се публикува на интернет страницата на общината всяко тримесечие.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43д. Когато е отпуснат временен безлихвен заем от централния бюджет за финансово оздравяване, се изготвя доклад за изпълнението на плана за всяко тримесечие и се изпраща на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43е. При наличие на тенденции за неизпълнение на целите и за трайно подобряване на финансовото състояние на общината в процедура за финансово оздравяване, може да се изготви предложение до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поемане на общински дълг чрез сключване на договор за заем, емитиране на общински ценни книжа или издаване на общински гаранции, след предварително съгласуване с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43ж. (1) При установяване на трайна тенденция за подобряване на финансовото състояние на общината и при постигане на показателите от чл. 130к, ал. 1 от Закона за публичните финанси, след изтичането на 6 месеца от приемане на плана за финансово оздравяване, може да се изготви искане до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 финансите за допълнителна субсидия за погасяване на временни безлихвени заеми от централния бюджет, ако са отпуснати такива. 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 искането се предлага размер на допълнителната субсидия и се прилагат доказателства за изпълнението на плана за финансово оздравяване.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Чл.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43з. (1) При условие, че общината излезе от състояние на финансово затруднение, може да се изготви предложение до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прекратяване на процедурата за финансово оздравяване,  преди изтичането на нейния срок. </w:t>
      </w:r>
    </w:p>
    <w:p w:rsidR="007439C2" w:rsidRPr="007439C2" w:rsidRDefault="007439C2" w:rsidP="007439C2">
      <w:pPr>
        <w:tabs>
          <w:tab w:val="left" w:pos="0"/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Ако в плана за финансово оздравяване е предвидено подпомагане чрез безлихвен заем от централния бюджет, то предложението се изпраща за предварително съгласуване от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Министър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а на финансите.</w:t>
      </w:r>
    </w:p>
    <w:p w:rsid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95AA9" w:rsidRP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МОТИВИ:</w:t>
      </w:r>
    </w:p>
    <w:p w:rsidR="007439C2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Причините, налагащи приемане на </w:t>
      </w:r>
      <w:r w:rsidR="00E82BD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изменение и допълнение</w:t>
      </w: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на Наредбата:</w:t>
      </w:r>
    </w:p>
    <w:p w:rsidR="00C95AA9" w:rsidRPr="00C95AA9" w:rsidRDefault="00C95AA9" w:rsidP="00C95AA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Решение № 188/17.12.2013 г.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Севлиево приема Наредба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Севлиево.</w:t>
      </w:r>
    </w:p>
    <w:p w:rsidR="00C95AA9" w:rsidRPr="00C95AA9" w:rsidRDefault="00C95AA9" w:rsidP="00C95AA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Причините, налагащи изменение и допълнение на Наредбата се обуславят от Закона 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E82BDB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E82BDB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допълнени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E82BDB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Закона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публични</w:t>
      </w:r>
      <w:r w:rsidR="00E82BDB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финанси, обнародван в Държавен вестник бр.</w:t>
      </w:r>
      <w:r w:rsidR="00FC25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43/07.06.2016 г. </w:t>
      </w:r>
    </w:p>
    <w:p w:rsidR="00C95AA9" w:rsidRPr="00C95AA9" w:rsidRDefault="00C95AA9" w:rsidP="00C95AA9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Основните корекции в Закона за публичните финанси, касаещи общините са както следва:</w:t>
      </w:r>
    </w:p>
    <w:p w:rsidR="00C95AA9" w:rsidRPr="00C95AA9" w:rsidRDefault="00C95AA9" w:rsidP="00A02BD5">
      <w:pPr>
        <w:numPr>
          <w:ilvl w:val="1"/>
          <w:numId w:val="4"/>
        </w:numPr>
        <w:tabs>
          <w:tab w:val="clear" w:pos="2160"/>
          <w:tab w:val="num" w:pos="0"/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променя се срокът за провеждане на публично обсъждане на разработения проект на бюджет за следваща финансова година, като обсъждането следва да се проведе в срока за внасяне на предложение за приемането му в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95AA9" w:rsidRPr="00C95AA9" w:rsidRDefault="00C95AA9" w:rsidP="00A02BD5">
      <w:pPr>
        <w:numPr>
          <w:ilvl w:val="1"/>
          <w:numId w:val="4"/>
        </w:numPr>
        <w:tabs>
          <w:tab w:val="clear" w:pos="2160"/>
          <w:tab w:val="num" w:pos="0"/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съкращава се срокът за внасяне в Общинския съвет на отчета на бюджет, като се изменя от 31 декември на 31 август следващата година. Вписва се нова разпоредба,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съгласно която в случаите на извършен финансов одит на годишния финансов отчет от Сметна палата, в </w:t>
      </w:r>
      <w:r w:rsidR="007E43C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 съвет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внесе </w:t>
      </w:r>
      <w:proofErr w:type="spellStart"/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одитирания</w:t>
      </w:r>
      <w:proofErr w:type="spellEnd"/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отчет, заедно с </w:t>
      </w:r>
      <w:proofErr w:type="spellStart"/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одитното</w:t>
      </w:r>
      <w:proofErr w:type="spellEnd"/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становище за заверка на отчета;</w:t>
      </w:r>
    </w:p>
    <w:p w:rsidR="00C95AA9" w:rsidRPr="00C95AA9" w:rsidRDefault="005F26C1" w:rsidP="005F26C1">
      <w:pPr>
        <w:numPr>
          <w:ilvl w:val="1"/>
          <w:numId w:val="4"/>
        </w:numPr>
        <w:tabs>
          <w:tab w:val="clear" w:pos="216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максималния</w:t>
      </w:r>
      <w:r w:rsidR="00CB48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размер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наличните към края на годината задължения за разходи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изменя </w:t>
      </w:r>
      <w:r w:rsidR="00A2506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5F2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5 % на 15 %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от средногодишния размер на отчетените разх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оди за последните четири години.</w:t>
      </w:r>
      <w:r w:rsidR="00C95AA9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C95AA9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граничението не се прилага за задължения за разходи, финансирани за сметка на помощи и дарения;</w:t>
      </w:r>
    </w:p>
    <w:p w:rsidR="00C95AA9" w:rsidRPr="00C95AA9" w:rsidRDefault="00C95AA9" w:rsidP="00A02BD5">
      <w:pPr>
        <w:numPr>
          <w:ilvl w:val="1"/>
          <w:numId w:val="4"/>
        </w:numPr>
        <w:tabs>
          <w:tab w:val="clear" w:pos="2160"/>
          <w:tab w:val="num" w:pos="0"/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максималния</w:t>
      </w:r>
      <w:r w:rsidR="00CB489E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размер на наличните към края на годината поети ангажименти за разходи </w:t>
      </w:r>
      <w:r w:rsidR="005F26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</w:t>
      </w:r>
      <w:r w:rsidR="005F26C1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завишава </w:t>
      </w:r>
      <w:r w:rsidR="005F26C1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="005F26C1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30 % на 50% от средногодишния размер на отчетените разхо</w:t>
      </w:r>
      <w:r w:rsidR="005F26C1">
        <w:rPr>
          <w:rFonts w:ascii="Times New Roman" w:eastAsia="Times New Roman" w:hAnsi="Times New Roman" w:cs="Times New Roman"/>
          <w:sz w:val="24"/>
          <w:szCs w:val="24"/>
          <w:lang w:eastAsia="bg-BG"/>
        </w:rPr>
        <w:t>ди за последните четири години. О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граничението не се прилага за ангажименти за разходи, финансирани за сметка  на помощи и дарения;</w:t>
      </w:r>
    </w:p>
    <w:p w:rsidR="00C95AA9" w:rsidRPr="00C95AA9" w:rsidRDefault="00CB489E" w:rsidP="00A02BD5">
      <w:pPr>
        <w:numPr>
          <w:ilvl w:val="1"/>
          <w:numId w:val="4"/>
        </w:numPr>
        <w:tabs>
          <w:tab w:val="clear" w:pos="2160"/>
          <w:tab w:val="num" w:pos="0"/>
          <w:tab w:val="left" w:pos="709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вписва се нова </w:t>
      </w:r>
      <w:bookmarkStart w:id="0" w:name="_GoBack"/>
      <w:bookmarkEnd w:id="0"/>
      <w:r w:rsidR="00C95AA9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Глава осма "а" – „Общини с финансови затруднения“, в която се прецизират условия, при които се определя дали общината е с финансови затруднения, откриване на процедура за финансово оздравяване, изпълнение на плана за финансово оздравяване и временни безлихвени заеми.</w:t>
      </w:r>
    </w:p>
    <w:p w:rsid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Цели, които се поставят с промяната:</w:t>
      </w:r>
    </w:p>
    <w:p w:rsid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Привеждане</w:t>
      </w:r>
      <w:r w:rsidR="000A27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на Наредбата с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приетия 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Закон 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изменени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допълнени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Закона 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публични</w:t>
      </w:r>
      <w:r w:rsidR="00696DE0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="00696DE0"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финанси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обнародван в Държавен вестник 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бр.</w:t>
      </w:r>
      <w:r w:rsidR="009629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43/07.06.2016 г.</w:t>
      </w:r>
    </w:p>
    <w:p w:rsidR="00C95AA9" w:rsidRP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Финансови и други средства, необходими за прилагането на промените:</w:t>
      </w:r>
    </w:p>
    <w:p w:rsidR="00C95AA9" w:rsidRP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прилагането на предлаганото </w:t>
      </w:r>
      <w:r w:rsidR="004D78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изменение и </w:t>
      </w:r>
      <w:r w:rsidRPr="00C95AA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допълнение на Наредбата не са необходими допълнителни финансови и други средства.</w:t>
      </w:r>
    </w:p>
    <w:p w:rsidR="00C95AA9" w:rsidRDefault="00C95AA9" w:rsidP="00C95A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95AA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Очаквани резултати от прилагането на промените:</w:t>
      </w:r>
    </w:p>
    <w:p w:rsidR="00C95AA9" w:rsidRPr="00C95AA9" w:rsidRDefault="00C95AA9" w:rsidP="00C95AA9">
      <w:pPr>
        <w:shd w:val="clear" w:color="auto" w:fill="FFFFFF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Свеждат се</w:t>
      </w:r>
      <w:r w:rsidRPr="00C95AA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bg-BG"/>
        </w:rPr>
        <w:t xml:space="preserve"> до постигане на целите, наложили приемането на закона, а именно: публично обсъждане на бюджета за съответната година с конкретни параметри, по-кратък срок за приемане на годишния отчет на бюджета на общината, запознаване на </w:t>
      </w:r>
      <w:r w:rsidR="007E43CC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bg-BG"/>
        </w:rPr>
        <w:t>Общински съвет</w:t>
      </w:r>
      <w:r w:rsidRPr="00C95AA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bg-BG"/>
        </w:rPr>
        <w:t xml:space="preserve"> с констатациите на Сметна палата при заверка на годишния отчет.</w:t>
      </w:r>
    </w:p>
    <w:p w:rsidR="002D4377" w:rsidRPr="002D4377" w:rsidRDefault="002D4377" w:rsidP="002D43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4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Анализ на съответствието с правото на Европейския съюз</w:t>
      </w:r>
      <w:r w:rsidR="000A277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2D437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C95AA9" w:rsidRDefault="002D4377" w:rsidP="002D43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437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Проектът за решение не противоречи на нормите на Европейския съюз, тъй като се приема изменение и допълнение на подзаконов нормативен акт, като компетентността за приемането е регламентирана в нормативен акт от по–висша степен.</w:t>
      </w:r>
    </w:p>
    <w:p w:rsidR="00F06464" w:rsidRPr="00F06464" w:rsidRDefault="00F06464" w:rsidP="00A708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26, ал. 2 от Закона за нормативните актове настоящият проект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зменение и допълнение на Наредба за ус</w:t>
      </w:r>
      <w:r w:rsidR="001320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ловията и реда за съставяне на </w:t>
      </w:r>
      <w:r w:rsidRPr="007439C2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бюджетната прогноза за местните дейности за следващите три години, за съставяне, приемане, изпълнение и отчитане на бюджета на Община Севлиево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е публикуван на интернет страницата на Община Севлиево </w:t>
      </w:r>
      <w:hyperlink r:id="rId9" w:history="1">
        <w:r w:rsidRPr="00F0646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www.sevlievo.bg</w:t>
        </w:r>
      </w:hyperlink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 на 26.08.2016 г.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 срок до </w:t>
      </w:r>
      <w:r w:rsidR="004D78C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.09.2016 г. включително предложения и становища относно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е приемат на следния </w:t>
      </w:r>
      <w:proofErr w:type="spellStart"/>
      <w:r w:rsidRPr="00F06464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06464">
        <w:rPr>
          <w:rFonts w:ascii="Times New Roman" w:eastAsia="Times New Roman" w:hAnsi="Times New Roman" w:cs="Times New Roman"/>
          <w:sz w:val="24"/>
          <w:szCs w:val="24"/>
        </w:rPr>
        <w:t>sevlievo@sevlievo</w:t>
      </w:r>
      <w:proofErr w:type="spellEnd"/>
      <w:r w:rsidRPr="00F064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F06464">
        <w:rPr>
          <w:rFonts w:ascii="Times New Roman" w:eastAsia="Times New Roman" w:hAnsi="Times New Roman" w:cs="Times New Roman"/>
          <w:sz w:val="24"/>
          <w:szCs w:val="24"/>
        </w:rPr>
        <w:t>bg</w:t>
      </w:r>
      <w:proofErr w:type="spellEnd"/>
      <w:r w:rsidRPr="00F06464">
        <w:rPr>
          <w:rFonts w:ascii="Times New Roman" w:eastAsia="Times New Roman" w:hAnsi="Times New Roman" w:cs="Times New Roman"/>
          <w:sz w:val="24"/>
          <w:szCs w:val="24"/>
        </w:rPr>
        <w:t xml:space="preserve"> или в Центъра за информация и услуги на гражданите на Община Севлиево на адрес: гр. Севлиево, пл. ”Свобода” № 1.</w:t>
      </w:r>
    </w:p>
    <w:p w:rsidR="00F06464" w:rsidRPr="00F06464" w:rsidRDefault="00F06464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464" w:rsidRDefault="00F06464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D5" w:rsidRDefault="00A02BD5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D5" w:rsidRDefault="00A02BD5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D5" w:rsidRDefault="00A02BD5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2BD5" w:rsidRPr="00F06464" w:rsidRDefault="00A02BD5" w:rsidP="00F064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464" w:rsidRPr="00F06464" w:rsidRDefault="007E43CC" w:rsidP="00F0646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КМЕТ</w:t>
      </w:r>
      <w:r w:rsidR="00F06464"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  /п/</w:t>
      </w:r>
    </w:p>
    <w:p w:rsidR="00F06464" w:rsidRPr="00F06464" w:rsidRDefault="00F06464" w:rsidP="00F064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</w:t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F064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F0646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/д-р Иван Иванов/</w:t>
      </w:r>
    </w:p>
    <w:p w:rsidR="00F06464" w:rsidRPr="00F06464" w:rsidRDefault="00F06464" w:rsidP="00F0646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06464" w:rsidRPr="007439C2" w:rsidRDefault="00F06464" w:rsidP="002D437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F06464" w:rsidRPr="007439C2" w:rsidSect="00F06464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BE" w:rsidRDefault="00DD16BE" w:rsidP="00A82F4E">
      <w:pPr>
        <w:spacing w:after="0" w:line="240" w:lineRule="auto"/>
      </w:pPr>
      <w:r>
        <w:separator/>
      </w:r>
    </w:p>
  </w:endnote>
  <w:endnote w:type="continuationSeparator" w:id="0">
    <w:p w:rsidR="00DD16BE" w:rsidRDefault="00DD16BE" w:rsidP="00A8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860705"/>
      <w:docPartObj>
        <w:docPartGallery w:val="Page Numbers (Bottom of Page)"/>
        <w:docPartUnique/>
      </w:docPartObj>
    </w:sdtPr>
    <w:sdtEndPr/>
    <w:sdtContent>
      <w:p w:rsidR="00A82F4E" w:rsidRDefault="00A82F4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89E">
          <w:rPr>
            <w:noProof/>
          </w:rPr>
          <w:t>4</w:t>
        </w:r>
        <w:r>
          <w:fldChar w:fldCharType="end"/>
        </w:r>
      </w:p>
    </w:sdtContent>
  </w:sdt>
  <w:p w:rsidR="00A82F4E" w:rsidRDefault="00A82F4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BE" w:rsidRDefault="00DD16BE" w:rsidP="00A82F4E">
      <w:pPr>
        <w:spacing w:after="0" w:line="240" w:lineRule="auto"/>
      </w:pPr>
      <w:r>
        <w:separator/>
      </w:r>
    </w:p>
  </w:footnote>
  <w:footnote w:type="continuationSeparator" w:id="0">
    <w:p w:rsidR="00DD16BE" w:rsidRDefault="00DD16BE" w:rsidP="00A82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955E2"/>
    <w:multiLevelType w:val="multilevel"/>
    <w:tmpl w:val="0F48A2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ED90059"/>
    <w:multiLevelType w:val="multilevel"/>
    <w:tmpl w:val="FEAA4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6A813361"/>
    <w:multiLevelType w:val="hybridMultilevel"/>
    <w:tmpl w:val="B9BA9450"/>
    <w:lvl w:ilvl="0" w:tplc="A8D2EC66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072176"/>
    <w:multiLevelType w:val="hybridMultilevel"/>
    <w:tmpl w:val="07661E5A"/>
    <w:lvl w:ilvl="0" w:tplc="66822480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color w:val="auto"/>
      </w:rPr>
    </w:lvl>
    <w:lvl w:ilvl="1" w:tplc="7618DDC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AE"/>
    <w:rsid w:val="00057076"/>
    <w:rsid w:val="000A2773"/>
    <w:rsid w:val="00132075"/>
    <w:rsid w:val="00185F56"/>
    <w:rsid w:val="002317D2"/>
    <w:rsid w:val="00286646"/>
    <w:rsid w:val="002D4377"/>
    <w:rsid w:val="003C7067"/>
    <w:rsid w:val="004D78C0"/>
    <w:rsid w:val="005259C8"/>
    <w:rsid w:val="005F26C1"/>
    <w:rsid w:val="00647343"/>
    <w:rsid w:val="0065653F"/>
    <w:rsid w:val="00696DE0"/>
    <w:rsid w:val="006C4213"/>
    <w:rsid w:val="007256AD"/>
    <w:rsid w:val="007439C2"/>
    <w:rsid w:val="007E43CC"/>
    <w:rsid w:val="00901620"/>
    <w:rsid w:val="00962915"/>
    <w:rsid w:val="00A02BD5"/>
    <w:rsid w:val="00A2506B"/>
    <w:rsid w:val="00A70841"/>
    <w:rsid w:val="00A76785"/>
    <w:rsid w:val="00A82F4E"/>
    <w:rsid w:val="00B26193"/>
    <w:rsid w:val="00C248AE"/>
    <w:rsid w:val="00C95AA9"/>
    <w:rsid w:val="00CB489E"/>
    <w:rsid w:val="00DC5A43"/>
    <w:rsid w:val="00DD16BE"/>
    <w:rsid w:val="00DD3CF1"/>
    <w:rsid w:val="00E25C85"/>
    <w:rsid w:val="00E82BDB"/>
    <w:rsid w:val="00F06464"/>
    <w:rsid w:val="00FB4305"/>
    <w:rsid w:val="00FC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02B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82F4E"/>
  </w:style>
  <w:style w:type="paragraph" w:styleId="a7">
    <w:name w:val="footer"/>
    <w:basedOn w:val="a"/>
    <w:link w:val="a8"/>
    <w:uiPriority w:val="99"/>
    <w:unhideWhenUsed/>
    <w:rsid w:val="00A8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82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02B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82F4E"/>
  </w:style>
  <w:style w:type="paragraph" w:styleId="a7">
    <w:name w:val="footer"/>
    <w:basedOn w:val="a"/>
    <w:link w:val="a8"/>
    <w:uiPriority w:val="99"/>
    <w:unhideWhenUsed/>
    <w:rsid w:val="00A8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8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evlie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DEE8-B1C2-486F-BDE9-9284B43E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Petkova</dc:creator>
  <cp:keywords/>
  <dc:description/>
  <cp:lastModifiedBy>Teodora Petkova</cp:lastModifiedBy>
  <cp:revision>31</cp:revision>
  <cp:lastPrinted>2016-08-26T06:52:00Z</cp:lastPrinted>
  <dcterms:created xsi:type="dcterms:W3CDTF">2016-08-25T10:15:00Z</dcterms:created>
  <dcterms:modified xsi:type="dcterms:W3CDTF">2016-08-26T07:44:00Z</dcterms:modified>
</cp:coreProperties>
</file>